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7611DE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7611DE">
        <w:rPr>
          <w:b/>
          <w:szCs w:val="28"/>
        </w:rPr>
        <w:t>Методика оценки</w:t>
      </w:r>
      <w:r w:rsidR="00B416AA" w:rsidRPr="007611DE">
        <w:rPr>
          <w:b/>
          <w:szCs w:val="28"/>
        </w:rPr>
        <w:t xml:space="preserve"> </w:t>
      </w:r>
      <w:r w:rsidR="00772096" w:rsidRPr="007611DE">
        <w:rPr>
          <w:b/>
          <w:szCs w:val="28"/>
        </w:rPr>
        <w:t>конкурсных заявок</w:t>
      </w:r>
      <w:r w:rsidR="00B007F8" w:rsidRPr="007611DE">
        <w:rPr>
          <w:b/>
          <w:szCs w:val="28"/>
        </w:rPr>
        <w:t xml:space="preserve"> </w:t>
      </w:r>
      <w:r w:rsidR="0051749B" w:rsidRPr="007611DE">
        <w:rPr>
          <w:b/>
          <w:szCs w:val="28"/>
        </w:rPr>
        <w:t xml:space="preserve">участников </w:t>
      </w:r>
      <w:r w:rsidR="00927E72" w:rsidRPr="007611DE">
        <w:rPr>
          <w:b/>
        </w:rPr>
        <w:t xml:space="preserve">открытого конкурса </w:t>
      </w:r>
      <w:r w:rsidR="007066F8" w:rsidRPr="007611DE">
        <w:rPr>
          <w:b/>
          <w:szCs w:val="28"/>
        </w:rPr>
        <w:t xml:space="preserve">№ </w:t>
      </w:r>
      <w:r w:rsidR="007611DE" w:rsidRPr="007611DE">
        <w:rPr>
          <w:b/>
          <w:szCs w:val="28"/>
        </w:rPr>
        <w:t>021</w:t>
      </w:r>
      <w:r w:rsidR="00B250D7" w:rsidRPr="007611DE">
        <w:rPr>
          <w:b/>
          <w:szCs w:val="28"/>
        </w:rPr>
        <w:t>/ТВРЗ/2019</w:t>
      </w:r>
      <w:r w:rsidRPr="007611DE">
        <w:rPr>
          <w:b/>
          <w:szCs w:val="28"/>
        </w:rPr>
        <w:t xml:space="preserve"> на</w:t>
      </w:r>
      <w:r w:rsidR="00927E72" w:rsidRPr="007611DE">
        <w:rPr>
          <w:b/>
        </w:rPr>
        <w:t xml:space="preserve"> </w:t>
      </w:r>
      <w:r w:rsidRPr="007611DE">
        <w:rPr>
          <w:b/>
          <w:szCs w:val="28"/>
        </w:rPr>
        <w:t>право заключения договора</w:t>
      </w:r>
      <w:r w:rsidR="00FB7CF7" w:rsidRPr="007611DE">
        <w:rPr>
          <w:b/>
          <w:color w:val="000000"/>
          <w:szCs w:val="28"/>
        </w:rPr>
        <w:t xml:space="preserve"> </w:t>
      </w:r>
      <w:r w:rsidR="007611DE" w:rsidRPr="007611DE">
        <w:rPr>
          <w:b/>
          <w:color w:val="000000"/>
          <w:szCs w:val="28"/>
        </w:rPr>
        <w:t xml:space="preserve">по </w:t>
      </w:r>
      <w:r w:rsidR="007611DE" w:rsidRPr="007611DE">
        <w:rPr>
          <w:b/>
          <w:szCs w:val="28"/>
        </w:rPr>
        <w:t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</w:t>
      </w:r>
      <w:r w:rsidR="00D71FD4" w:rsidRPr="007611DE">
        <w:rPr>
          <w:b/>
          <w:szCs w:val="28"/>
        </w:rPr>
        <w:t>, расположенного по адресу: г.Тамбов, пл.Мастерских,1» на Тамбовском ВРЗ - филиале АО «ВРМ»</w:t>
      </w:r>
      <w:r w:rsidR="00AF587E" w:rsidRPr="007611DE">
        <w:rPr>
          <w:b/>
          <w:szCs w:val="28"/>
        </w:rPr>
        <w:t xml:space="preserve">, </w:t>
      </w:r>
      <w:r w:rsidR="00FB7CF7" w:rsidRPr="007611DE">
        <w:rPr>
          <w:b/>
          <w:szCs w:val="28"/>
        </w:rPr>
        <w:t>находящегося на балансовом учете Тамбовского вагоноремонтн</w:t>
      </w:r>
      <w:r w:rsidR="00A572E5" w:rsidRPr="007611DE">
        <w:rPr>
          <w:b/>
          <w:szCs w:val="28"/>
        </w:rPr>
        <w:t>ого завода АО «ВРМ»</w:t>
      </w:r>
      <w:r w:rsidR="00401F92" w:rsidRPr="007611DE">
        <w:rPr>
          <w:b/>
          <w:szCs w:val="28"/>
        </w:rPr>
        <w:t xml:space="preserve"> в 2019 </w:t>
      </w:r>
      <w:r w:rsidR="00D17ECC" w:rsidRPr="007611DE">
        <w:rPr>
          <w:b/>
          <w:szCs w:val="28"/>
        </w:rPr>
        <w:t>г</w:t>
      </w:r>
      <w:r w:rsidR="00143D91" w:rsidRPr="007611DE">
        <w:rPr>
          <w:b/>
          <w:szCs w:val="28"/>
        </w:rPr>
        <w:t>.</w:t>
      </w:r>
      <w:r w:rsidRPr="007611DE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bookmarkStart w:id="0" w:name="_GoBack"/>
      <w:bookmarkEnd w:id="0"/>
      <w:r w:rsidR="00A36DC1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7611DE">
        <w:rPr>
          <w:szCs w:val="28"/>
        </w:rPr>
        <w:t>№ 021</w:t>
      </w:r>
      <w:r w:rsidR="00401F92">
        <w:rPr>
          <w:szCs w:val="28"/>
        </w:rPr>
        <w:t>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7611DE" w:rsidRPr="004170DC">
        <w:rPr>
          <w:color w:val="000000"/>
          <w:szCs w:val="28"/>
        </w:rPr>
        <w:t xml:space="preserve">по </w:t>
      </w:r>
      <w:r w:rsidR="007611DE">
        <w:rPr>
          <w:szCs w:val="28"/>
        </w:rPr>
        <w:t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</w:t>
      </w:r>
      <w:r w:rsidR="00D71FD4">
        <w:rPr>
          <w:szCs w:val="28"/>
        </w:rPr>
        <w:t>, расположенного по адресу: г.Тамбов, пл.Мастерских,1» на Тамбовском ВРЗ - филиале АО «ВРМ»</w:t>
      </w:r>
      <w:r w:rsidR="00FB7CF7" w:rsidRPr="00C05E1B">
        <w:rPr>
          <w:szCs w:val="28"/>
        </w:rPr>
        <w:t>,</w:t>
      </w:r>
      <w:r w:rsidR="00FB7CF7" w:rsidRPr="00C0278E">
        <w:rPr>
          <w:szCs w:val="28"/>
        </w:rPr>
        <w:t xml:space="preserve"> 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 w:rsidR="007611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45pt" o:ole="">
                  <v:imagedata r:id="rId8" o:title=""/>
                </v:shape>
                <o:OLEObject Type="Embed" ProgID="Equation.3" ShapeID="_x0000_i1025" DrawAspect="Content" ObjectID="_1615899563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7611DE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45pt;height:35.05pt" o:ole="">
                  <v:imagedata r:id="rId10" o:title=""/>
                </v:shape>
                <o:OLEObject Type="Embed" ProgID="Equation.3" ShapeID="_x0000_i1026" DrawAspect="Content" ObjectID="_1615899564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.3pt;height:41.95pt" o:ole="">
                  <v:imagedata r:id="rId12" o:title=""/>
                </v:shape>
                <o:OLEObject Type="Embed" ProgID="Equation.3" ShapeID="_x0000_i1027" DrawAspect="Content" ObjectID="_1615899565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8.8pt" o:ole="">
                  <v:imagedata r:id="rId14" o:title=""/>
                </v:shape>
                <o:OLEObject Type="Embed" ProgID="Equation.3" ShapeID="_x0000_i1028" DrawAspect="Content" ObjectID="_1615899566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15pt;height:18.8pt" o:ole="">
                  <v:imagedata r:id="rId16" o:title=""/>
                </v:shape>
                <o:OLEObject Type="Embed" ProgID="Equation.3" ShapeID="_x0000_i1029" DrawAspect="Content" ObjectID="_1615899567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7611DE">
        <w:rPr>
          <w:szCs w:val="28"/>
        </w:rPr>
        <w:t>021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7611DE" w:rsidRPr="004170DC">
        <w:rPr>
          <w:color w:val="000000"/>
          <w:szCs w:val="28"/>
        </w:rPr>
        <w:t xml:space="preserve">по </w:t>
      </w:r>
      <w:r w:rsidR="007611DE">
        <w:rPr>
          <w:szCs w:val="28"/>
        </w:rPr>
        <w:t>капитальному ремонту мягкой кровли «Здания цеха обмывки вагонов, здание пескоструйного и дробеструйного участков» над слесарно-сварочным участком инв.№10007</w:t>
      </w:r>
      <w:r w:rsidR="00D71FD4">
        <w:rPr>
          <w:szCs w:val="28"/>
        </w:rPr>
        <w:t>, расположенного по адресу: г.Тамбов,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E9" w:rsidRDefault="00622AE9">
      <w:r>
        <w:separator/>
      </w:r>
    </w:p>
  </w:endnote>
  <w:endnote w:type="continuationSeparator" w:id="0">
    <w:p w:rsidR="00622AE9" w:rsidRDefault="0062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E9" w:rsidRDefault="00622AE9">
      <w:r>
        <w:separator/>
      </w:r>
    </w:p>
  </w:footnote>
  <w:footnote w:type="continuationSeparator" w:id="0">
    <w:p w:rsidR="00622AE9" w:rsidRDefault="0062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A43A5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2AE9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36DC1"/>
    <w:rsid w:val="00A43A5F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FB16BD-4455-44DC-ABF6-48D4D4C6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DFEF-C29E-4A70-8F97-143858E3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65</cp:revision>
  <cp:lastPrinted>2018-05-28T11:19:00Z</cp:lastPrinted>
  <dcterms:created xsi:type="dcterms:W3CDTF">2015-05-18T05:05:00Z</dcterms:created>
  <dcterms:modified xsi:type="dcterms:W3CDTF">2019-04-04T13:13:00Z</dcterms:modified>
</cp:coreProperties>
</file>