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6" w:rsidRPr="00A75E6B" w:rsidRDefault="00E53FF6" w:rsidP="00E53FF6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C13065">
        <w:rPr>
          <w:b/>
          <w:szCs w:val="28"/>
        </w:rPr>
        <w:t>005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C13065" w:rsidP="00E53FF6">
      <w:r>
        <w:t xml:space="preserve">        «17» февраля</w:t>
      </w:r>
      <w:r w:rsidR="00C82EE5">
        <w:t xml:space="preserve"> </w:t>
      </w:r>
      <w:r>
        <w:t xml:space="preserve"> 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5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C13065">
        <w:rPr>
          <w:szCs w:val="28"/>
        </w:rPr>
        <w:t>005/ТВРЗ/2021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продукции литейного производства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C13065">
        <w:rPr>
          <w:szCs w:val="28"/>
        </w:rPr>
        <w:t>феврале-марте 2021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C13065">
        <w:rPr>
          <w:bCs/>
          <w:color w:val="000000"/>
        </w:rPr>
        <w:t>17</w:t>
      </w:r>
      <w:r w:rsidRPr="00A167DC">
        <w:rPr>
          <w:bCs/>
          <w:color w:val="000000"/>
        </w:rPr>
        <w:t xml:space="preserve">» </w:t>
      </w:r>
      <w:r w:rsidR="00C13065">
        <w:rPr>
          <w:bCs/>
          <w:color w:val="000000"/>
        </w:rPr>
        <w:t>февраля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C13065">
        <w:rPr>
          <w:bCs/>
          <w:color w:val="000000"/>
        </w:rPr>
        <w:t>15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953DC" w:rsidRPr="002E5B82">
        <w:t>участников</w:t>
      </w:r>
      <w:r w:rsidRPr="002E5B82">
        <w:t>,</w:t>
      </w:r>
      <w:r w:rsidRPr="00371005">
        <w:t xml:space="preserve">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BF6352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Сидорин М.В.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</w:t>
                  </w:r>
                  <w:proofErr w:type="gramStart"/>
                  <w:r>
                    <w:rPr>
                      <w:szCs w:val="28"/>
                      <w:u w:val="single"/>
                    </w:rPr>
                    <w:t>Ю</w:t>
                  </w:r>
                  <w:proofErr w:type="gramEnd"/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E0" w:rsidRDefault="00403FE0">
      <w:r>
        <w:separator/>
      </w:r>
    </w:p>
  </w:endnote>
  <w:endnote w:type="continuationSeparator" w:id="0">
    <w:p w:rsidR="00403FE0" w:rsidRDefault="0040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E0" w:rsidRDefault="00403FE0">
      <w:r>
        <w:separator/>
      </w:r>
    </w:p>
  </w:footnote>
  <w:footnote w:type="continuationSeparator" w:id="0">
    <w:p w:rsidR="00403FE0" w:rsidRDefault="0040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0C9A-8FD2-4EA2-873D-69E531B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</TotalTime>
  <Pages>1</Pages>
  <Words>147</Words>
  <Characters>1070</Characters>
  <Application>Microsoft Office Word</Application>
  <DocSecurity>0</DocSecurity>
  <Lines>42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4</cp:revision>
  <cp:lastPrinted>2020-12-14T08:27:00Z</cp:lastPrinted>
  <dcterms:created xsi:type="dcterms:W3CDTF">2020-12-14T07:50:00Z</dcterms:created>
  <dcterms:modified xsi:type="dcterms:W3CDTF">2021-02-18T06:21:00Z</dcterms:modified>
</cp:coreProperties>
</file>