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360" w:type="pct"/>
        <w:tblInd w:w="5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CellMar>
          <w:left w:w="85" w:type="dxa"/>
        </w:tblCellMar>
        <w:tblLook w:val="00A0" w:firstRow="1" w:lastRow="0" w:firstColumn="1" w:lastColumn="0" w:noHBand="0" w:noVBand="0"/>
      </w:tblPr>
      <w:tblGrid>
        <w:gridCol w:w="2030"/>
        <w:gridCol w:w="7988"/>
      </w:tblGrid>
      <w:tr w:rsidR="00BB0ACA" w:rsidRPr="005B2E94" w:rsidTr="00BB0ACA">
        <w:trPr>
          <w:trHeight w:val="1069"/>
        </w:trPr>
        <w:tc>
          <w:tcPr>
            <w:tcW w:w="2067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B0ACA" w:rsidRPr="005B2E94" w:rsidRDefault="00BB0ACA" w:rsidP="007E040F">
            <w:pPr>
              <w:jc w:val="center"/>
              <w:rPr>
                <w:rFonts w:ascii="Cambria" w:hAnsi="Cambria" w:cs="Cambria"/>
                <w:smallCaps/>
                <w:noProof/>
                <w:color w:val="auto"/>
                <w:sz w:val="24"/>
              </w:rPr>
            </w:pPr>
            <w:r w:rsidRPr="005B2E94">
              <w:rPr>
                <w:rFonts w:ascii="Cambria" w:hAnsi="Cambria" w:cs="Cambria"/>
                <w:smallCaps/>
                <w:noProof/>
                <w:color w:val="auto"/>
                <w:sz w:val="24"/>
                <w:szCs w:val="22"/>
              </w:rPr>
              <w:drawing>
                <wp:inline distT="0" distB="0" distL="0" distR="0">
                  <wp:extent cx="1009650" cy="609600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6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9" w:type="dxa"/>
            <w:tcMar>
              <w:top w:w="57" w:type="dxa"/>
              <w:bottom w:w="57" w:type="dxa"/>
            </w:tcMar>
            <w:vAlign w:val="center"/>
          </w:tcPr>
          <w:p w:rsidR="00BB0ACA" w:rsidRPr="005B2E94" w:rsidRDefault="00BB0ACA" w:rsidP="007E040F">
            <w:pPr>
              <w:spacing w:line="276" w:lineRule="auto"/>
              <w:jc w:val="center"/>
              <w:rPr>
                <w:b/>
                <w:color w:val="1F497D"/>
                <w:sz w:val="30"/>
                <w:szCs w:val="30"/>
                <w:lang w:eastAsia="en-US"/>
              </w:rPr>
            </w:pPr>
            <w:r w:rsidRPr="005B2E94">
              <w:rPr>
                <w:b/>
                <w:color w:val="1F497D"/>
                <w:sz w:val="30"/>
                <w:szCs w:val="30"/>
                <w:lang w:eastAsia="en-US"/>
              </w:rPr>
              <w:t>АКЦИОНЕРНОЕ ОБЩЕСТВО «ВАГОНРЕММАШ»</w:t>
            </w:r>
          </w:p>
          <w:p w:rsidR="00BB0ACA" w:rsidRDefault="00BB0ACA" w:rsidP="007E040F">
            <w:pPr>
              <w:spacing w:line="276" w:lineRule="auto"/>
              <w:jc w:val="center"/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105005, г. Москва, наб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ережная</w:t>
            </w: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 xml:space="preserve"> Академика Туполева, дом 15, </w:t>
            </w:r>
          </w:p>
          <w:p w:rsidR="00BB0ACA" w:rsidRPr="005B2E94" w:rsidRDefault="00BB0ACA" w:rsidP="007E040F">
            <w:pPr>
              <w:spacing w:line="276" w:lineRule="auto"/>
              <w:jc w:val="center"/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корпус 2</w:t>
            </w:r>
            <w:r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, офис 27</w:t>
            </w:r>
          </w:p>
          <w:p w:rsidR="00BB0ACA" w:rsidRPr="005B2E94" w:rsidRDefault="00BB0ACA" w:rsidP="007E040F">
            <w:pPr>
              <w:spacing w:line="276" w:lineRule="auto"/>
              <w:jc w:val="center"/>
              <w:rPr>
                <w:rFonts w:ascii="Cambria" w:hAnsi="Cambria" w:cs="Arial"/>
                <w:bCs/>
                <w:color w:val="1F497D"/>
                <w:kern w:val="28"/>
                <w:sz w:val="22"/>
                <w:szCs w:val="18"/>
                <w:lang w:eastAsia="en-US"/>
              </w:rPr>
            </w:pPr>
            <w:r w:rsidRPr="005B2E94">
              <w:rPr>
                <w:bCs/>
                <w:color w:val="1F497D"/>
                <w:kern w:val="28"/>
                <w:sz w:val="26"/>
                <w:szCs w:val="26"/>
                <w:lang w:eastAsia="en-US"/>
              </w:rPr>
              <w:t>тел. (499) 550-28-90, факс (499) 550-28-96, www.vagonremmash.ru</w:t>
            </w:r>
          </w:p>
        </w:tc>
      </w:tr>
    </w:tbl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Pr="00E63161" w:rsidRDefault="00BB0ACA" w:rsidP="00BB0ACA">
      <w:pPr>
        <w:spacing w:after="100" w:afterAutospacing="1"/>
        <w:jc w:val="right"/>
        <w:rPr>
          <w:b/>
          <w:color w:val="000000" w:themeColor="text1"/>
          <w:szCs w:val="28"/>
        </w:rPr>
      </w:pPr>
    </w:p>
    <w:p w:rsidR="00BB0ACA" w:rsidRPr="00E63161" w:rsidRDefault="00BB0ACA" w:rsidP="00BB0ACA">
      <w:pPr>
        <w:ind w:left="3402" w:hanging="2976"/>
        <w:jc w:val="center"/>
        <w:rPr>
          <w:b/>
          <w:color w:val="auto"/>
          <w:szCs w:val="28"/>
        </w:rPr>
      </w:pPr>
      <w:r w:rsidRPr="00E63161">
        <w:rPr>
          <w:b/>
          <w:color w:val="auto"/>
          <w:szCs w:val="28"/>
        </w:rPr>
        <w:t>Извещение</w:t>
      </w:r>
    </w:p>
    <w:p w:rsidR="00BB0ACA" w:rsidRPr="00E63161" w:rsidRDefault="00BB0ACA" w:rsidP="00BB0ACA">
      <w:pPr>
        <w:ind w:firstLine="426"/>
        <w:jc w:val="center"/>
        <w:rPr>
          <w:b/>
          <w:color w:val="auto"/>
          <w:szCs w:val="28"/>
        </w:rPr>
      </w:pPr>
      <w:r w:rsidRPr="00E63161">
        <w:rPr>
          <w:b/>
          <w:szCs w:val="28"/>
        </w:rPr>
        <w:t xml:space="preserve">О внесении изменений в запрос котировок цен </w:t>
      </w:r>
      <w:r w:rsidRPr="00E63161">
        <w:rPr>
          <w:b/>
          <w:color w:val="auto"/>
          <w:szCs w:val="28"/>
        </w:rPr>
        <w:t>№ 56/ЗК-АО «ВРМ»/2021</w:t>
      </w:r>
    </w:p>
    <w:p w:rsidR="00BB0ACA" w:rsidRPr="00365DA3" w:rsidRDefault="00BB0ACA" w:rsidP="00BB0ACA">
      <w:pPr>
        <w:jc w:val="center"/>
        <w:rPr>
          <w:bCs/>
          <w:color w:val="auto"/>
          <w:szCs w:val="28"/>
        </w:rPr>
      </w:pPr>
    </w:p>
    <w:p w:rsidR="00BB0ACA" w:rsidRPr="00365DA3" w:rsidRDefault="00BB0ACA" w:rsidP="00BB0ACA">
      <w:pPr>
        <w:jc w:val="center"/>
        <w:rPr>
          <w:bCs/>
          <w:color w:val="auto"/>
          <w:szCs w:val="28"/>
        </w:rPr>
      </w:pPr>
      <w:r w:rsidRPr="00365DA3">
        <w:rPr>
          <w:bCs/>
          <w:color w:val="auto"/>
          <w:szCs w:val="28"/>
        </w:rPr>
        <w:t>Уважаемые господа!</w:t>
      </w:r>
    </w:p>
    <w:p w:rsidR="00BB0ACA" w:rsidRPr="00365DA3" w:rsidRDefault="00BB0ACA" w:rsidP="00BB0ACA">
      <w:pPr>
        <w:jc w:val="center"/>
        <w:rPr>
          <w:bCs/>
          <w:color w:val="auto"/>
          <w:szCs w:val="28"/>
        </w:rPr>
      </w:pPr>
    </w:p>
    <w:p w:rsidR="00BB0ACA" w:rsidRDefault="00BB0ACA" w:rsidP="00BB0ACA">
      <w:pPr>
        <w:ind w:left="426" w:firstLine="141"/>
        <w:contextualSpacing/>
        <w:jc w:val="both"/>
        <w:rPr>
          <w:b/>
          <w:color w:val="auto"/>
          <w:szCs w:val="28"/>
        </w:rPr>
      </w:pPr>
      <w:r w:rsidRPr="00365DA3">
        <w:rPr>
          <w:color w:val="auto"/>
          <w:szCs w:val="28"/>
        </w:rPr>
        <w:tab/>
      </w:r>
      <w:r w:rsidRPr="00593BA3">
        <w:rPr>
          <w:szCs w:val="28"/>
        </w:rPr>
        <w:t xml:space="preserve">АО «ВРМ» сообщает о внесении </w:t>
      </w:r>
      <w:r>
        <w:rPr>
          <w:szCs w:val="28"/>
        </w:rPr>
        <w:t xml:space="preserve">изменений </w:t>
      </w:r>
      <w:r w:rsidRPr="00593BA3">
        <w:rPr>
          <w:szCs w:val="28"/>
        </w:rPr>
        <w:t xml:space="preserve">в запрос котировок цен </w:t>
      </w:r>
      <w:r>
        <w:rPr>
          <w:szCs w:val="28"/>
        </w:rPr>
        <w:t xml:space="preserve">      </w:t>
      </w:r>
      <w:r w:rsidRPr="00365DA3">
        <w:rPr>
          <w:color w:val="auto"/>
          <w:szCs w:val="28"/>
        </w:rPr>
        <w:t xml:space="preserve"> </w:t>
      </w:r>
      <w:r w:rsidRPr="00365DA3">
        <w:rPr>
          <w:b/>
          <w:color w:val="auto"/>
          <w:szCs w:val="28"/>
        </w:rPr>
        <w:t xml:space="preserve">№ 56/ЗК-АО «ВРМ»/2021 </w:t>
      </w:r>
      <w:r w:rsidRPr="00365DA3">
        <w:rPr>
          <w:color w:val="auto"/>
          <w:szCs w:val="28"/>
        </w:rPr>
        <w:t xml:space="preserve">с целью выбора организации на право заключения договора </w:t>
      </w:r>
      <w:r w:rsidRPr="00365DA3">
        <w:rPr>
          <w:b/>
          <w:color w:val="auto"/>
          <w:szCs w:val="28"/>
        </w:rPr>
        <w:t xml:space="preserve">поставки мебели служебного купе и косого коридора пассажирских вагонов для нужд Тамбовского ВРЗ и Воронежского ВРЗ – филиалов АО «ВРМ» с 20.07.2021 г. до 30.11.2021г. </w:t>
      </w:r>
    </w:p>
    <w:p w:rsidR="00020086" w:rsidRPr="00365DA3" w:rsidRDefault="00020086" w:rsidP="00BB0ACA">
      <w:pPr>
        <w:ind w:left="426" w:firstLine="141"/>
        <w:contextualSpacing/>
        <w:jc w:val="both"/>
        <w:rPr>
          <w:b/>
          <w:color w:val="auto"/>
          <w:szCs w:val="28"/>
        </w:rPr>
      </w:pPr>
      <w:r>
        <w:rPr>
          <w:szCs w:val="28"/>
        </w:rPr>
        <w:t>Таблицу №1 Технического задания изложить в следующей редакции:</w:t>
      </w: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</w:pPr>
    </w:p>
    <w:p w:rsidR="00BB0ACA" w:rsidRDefault="00BB0ACA" w:rsidP="00BB0ACA">
      <w:pPr>
        <w:spacing w:after="100" w:afterAutospacing="1"/>
        <w:jc w:val="right"/>
        <w:rPr>
          <w:color w:val="000000" w:themeColor="text1"/>
          <w:szCs w:val="28"/>
        </w:rPr>
        <w:sectPr w:rsidR="00BB0ACA" w:rsidSect="00BB0ACA">
          <w:pgSz w:w="11906" w:h="16838" w:code="9"/>
          <w:pgMar w:top="1134" w:right="1701" w:bottom="1701" w:left="850" w:header="709" w:footer="709" w:gutter="0"/>
          <w:cols w:space="708"/>
          <w:docGrid w:linePitch="381"/>
        </w:sectPr>
      </w:pPr>
    </w:p>
    <w:p w:rsidR="00BB0ACA" w:rsidRDefault="00BB0ACA" w:rsidP="00BB0ACA">
      <w:pPr>
        <w:spacing w:after="100" w:afterAutospacing="1"/>
        <w:jc w:val="right"/>
        <w:rPr>
          <w:szCs w:val="28"/>
        </w:rPr>
      </w:pPr>
      <w:r>
        <w:rPr>
          <w:color w:val="000000" w:themeColor="text1"/>
          <w:szCs w:val="28"/>
        </w:rPr>
        <w:t>Таблица №1</w:t>
      </w:r>
    </w:p>
    <w:p w:rsidR="00BB0ACA" w:rsidRDefault="00BB0ACA" w:rsidP="00BB0ACA">
      <w:pPr>
        <w:spacing w:after="100" w:afterAutospacing="1"/>
        <w:ind w:firstLine="709"/>
        <w:contextualSpacing/>
        <w:jc w:val="both"/>
        <w:rPr>
          <w:szCs w:val="28"/>
        </w:rPr>
      </w:pPr>
    </w:p>
    <w:tbl>
      <w:tblPr>
        <w:tblStyle w:val="1"/>
        <w:tblW w:w="14737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1417"/>
        <w:gridCol w:w="1134"/>
        <w:gridCol w:w="1701"/>
        <w:gridCol w:w="1985"/>
        <w:gridCol w:w="1984"/>
        <w:gridCol w:w="2693"/>
      </w:tblGrid>
      <w:tr w:rsidR="00BB0ACA" w:rsidTr="007E040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szCs w:val="28"/>
              </w:rPr>
              <w:t xml:space="preserve">   </w:t>
            </w:r>
            <w:r>
              <w:rPr>
                <w:lang w:eastAsia="en-US"/>
              </w:rPr>
              <w:t>№ п/п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Ед. </w:t>
            </w:r>
            <w:proofErr w:type="spellStart"/>
            <w:r>
              <w:rPr>
                <w:lang w:eastAsia="en-US"/>
              </w:rPr>
              <w:t>изм</w:t>
            </w:r>
            <w:proofErr w:type="spellEnd"/>
            <w:r>
              <w:rPr>
                <w:lang w:eastAsia="en-US"/>
              </w:rPr>
              <w:t>-я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tabs>
                <w:tab w:val="center" w:pos="4677"/>
                <w:tab w:val="right" w:pos="9355"/>
              </w:tabs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Предельная цена за ед. </w:t>
            </w:r>
          </w:p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без НДС, руб.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Стоимость, без НДС,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tabs>
                <w:tab w:val="center" w:pos="4677"/>
                <w:tab w:val="right" w:pos="9355"/>
              </w:tabs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Стоимость, 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НДС 20%,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Pr="00944F54" w:rsidRDefault="00BB0ACA" w:rsidP="007E040F">
            <w:pPr>
              <w:tabs>
                <w:tab w:val="center" w:pos="4677"/>
                <w:tab w:val="right" w:pos="9355"/>
              </w:tabs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BB0ACA" w:rsidTr="007E040F">
        <w:trPr>
          <w:trHeight w:val="6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Комплект мебели служебного купе,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145 291,66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23 827 832,24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28 593 398,69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ВВРЗ: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5компл. – до 25.08.2021г. 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19компл. – до 25.09.2021г.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17компл. – до 25.10.2021г.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ТВРЗ: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14компл. – до 25.07.2021г. 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33компл. – до 25.08.2021г.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26компл. – до 25.09.2021г.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29компл. – до 25.10.2021г.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23компл. – до 25.11.2021г.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3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Шкаф для холодильника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22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Шкаф для микроволновой печи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Шкаф над мойкой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7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1.4.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Шкаф с раковиной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Тумба малая в коридор РВДГ.021.25.11.000СБ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41 433,33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6 795 066,12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8 154 079,34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ВВРЗ: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5компл. – до 25.08.2021г. 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19компл. – до 25.09.2021г.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17компл. – до 25.10.2021г.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ТВРЗ: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14компл. – до 25.07.2021г. 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33компл. – до 25.08.2021г.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26компл. – до 25.09.2021г.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29компл. – до 25.10.2021г.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23компл. – до 25.11.2021г.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>
              <w:rPr>
                <w:lang w:eastAsia="en-US"/>
              </w:rPr>
              <w:t>Косой коридор для 47К, в т.ч.: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комп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</w:pPr>
            <w:r w:rsidRPr="00730238">
              <w:rPr>
                <w:lang w:eastAsia="en-US"/>
              </w:rPr>
              <w:t>16</w:t>
            </w: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252 633,33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41 431 866,12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49 718 239,34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ВВРЗ: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5компл. – до 25.08.2021г. 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19компл. – до 25.09.2021г.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17компл. – до 25.10.2021г.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ТВРЗ: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15компл. – до 25.07.2021г. 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33компл. – до 25.08.2021г.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26компл. – до 25.09.2021г.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29компл. – до 25.10.2021г.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23компл. – до 25.11.2021г.</w:t>
            </w:r>
          </w:p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Pr="00F076E3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 w:rsidRPr="00F076E3">
              <w:rPr>
                <w:lang w:eastAsia="en-US"/>
              </w:rPr>
              <w:t xml:space="preserve">Тумба под пожарный кран </w:t>
            </w:r>
            <w:r w:rsidR="00F076E3" w:rsidRPr="00F076E3">
              <w:t>ТИ.05.16.100.000/ДИ.03.52.100.000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</w:pPr>
            <w:r w:rsidRPr="00BD1515">
              <w:rPr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Pr="00F076E3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 w:rsidRPr="00F076E3">
              <w:rPr>
                <w:lang w:eastAsia="en-US"/>
              </w:rPr>
              <w:t xml:space="preserve">Дверь с баком </w:t>
            </w:r>
            <w:r w:rsidR="00F076E3" w:rsidRPr="00F076E3">
              <w:t>ТИ.05.16.100.001/ДИ.03.52.200.000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</w:pPr>
            <w:r w:rsidRPr="00BD1515">
              <w:rPr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2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3.3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Pr="00F076E3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 w:rsidRPr="00F076E3">
              <w:rPr>
                <w:lang w:eastAsia="en-US"/>
              </w:rPr>
              <w:t xml:space="preserve">Панель </w:t>
            </w:r>
            <w:r w:rsidR="00F076E3" w:rsidRPr="00F076E3">
              <w:t>ТИ.05.16.100.002/ДИ.03.52.300.000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</w:pPr>
            <w:r w:rsidRPr="00BD1515">
              <w:rPr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3.4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Pr="00F076E3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 w:rsidRPr="00F076E3">
              <w:rPr>
                <w:lang w:eastAsia="en-US"/>
              </w:rPr>
              <w:t xml:space="preserve">Подоконник </w:t>
            </w:r>
            <w:r w:rsidR="00F076E3" w:rsidRPr="00F076E3">
              <w:t>ТИ.05.16.100.003/ДИ.03.52.400.000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</w:pPr>
            <w:r w:rsidRPr="00BD1515">
              <w:rPr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2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3.5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Pr="00F076E3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 w:rsidRPr="00F076E3">
              <w:rPr>
                <w:lang w:eastAsia="en-US"/>
              </w:rPr>
              <w:t xml:space="preserve">Ограждение </w:t>
            </w:r>
            <w:proofErr w:type="spellStart"/>
            <w:r w:rsidRPr="00F076E3">
              <w:rPr>
                <w:lang w:eastAsia="en-US"/>
              </w:rPr>
              <w:t>пурифаера</w:t>
            </w:r>
            <w:proofErr w:type="spellEnd"/>
            <w:r w:rsidRPr="00F076E3">
              <w:rPr>
                <w:lang w:eastAsia="en-US"/>
              </w:rPr>
              <w:t xml:space="preserve"> </w:t>
            </w:r>
            <w:r w:rsidR="00F076E3" w:rsidRPr="00F076E3">
              <w:t>ТИ.05.16.100.004/ДИ.03.52.500.000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</w:pPr>
            <w:r w:rsidRPr="00BD1515">
              <w:rPr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3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3.6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Pr="00F076E3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 w:rsidRPr="00F076E3">
              <w:rPr>
                <w:lang w:eastAsia="en-US"/>
              </w:rPr>
              <w:t xml:space="preserve">Зашивка потолка </w:t>
            </w:r>
            <w:r w:rsidR="00F076E3" w:rsidRPr="00F076E3">
              <w:t>ТИ.05.16.100.005/ДИ.03.52.600.000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</w:pPr>
            <w:r w:rsidRPr="00BD1515">
              <w:rPr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3.7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Pr="00F076E3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 w:rsidRPr="00F076E3">
              <w:rPr>
                <w:lang w:eastAsia="en-US"/>
              </w:rPr>
              <w:t xml:space="preserve">Ограждение котельного отделения </w:t>
            </w:r>
            <w:r w:rsidR="00F076E3" w:rsidRPr="00F076E3">
              <w:t>ТИ.05.16.100.006/ДИ.03.52.700.000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</w:pPr>
            <w:r w:rsidRPr="00BD1515">
              <w:rPr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5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3.8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Pr="00F076E3" w:rsidRDefault="00BB0ACA" w:rsidP="007E040F">
            <w:pPr>
              <w:spacing w:before="240" w:after="120"/>
              <w:ind w:right="68"/>
              <w:contextualSpacing/>
              <w:rPr>
                <w:lang w:eastAsia="en-US"/>
              </w:rPr>
            </w:pPr>
            <w:r w:rsidRPr="00F076E3">
              <w:rPr>
                <w:lang w:eastAsia="en-US"/>
              </w:rPr>
              <w:t xml:space="preserve">Карниз дверей косого коридора </w:t>
            </w:r>
            <w:r w:rsidR="00F076E3" w:rsidRPr="00F076E3">
              <w:t>ТИ.05.16.100.007/ДИ.03.53.000.000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jc w:val="center"/>
            </w:pPr>
            <w:r w:rsidRPr="00BD1515">
              <w:rPr>
                <w:lang w:eastAsia="en-US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jc w:val="center"/>
              <w:outlineLvl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lang w:eastAsia="en-US"/>
              </w:rPr>
            </w:pPr>
          </w:p>
        </w:tc>
      </w:tr>
      <w:tr w:rsidR="00BB0ACA" w:rsidTr="007E040F">
        <w:trPr>
          <w:trHeight w:val="220"/>
        </w:trPr>
        <w:tc>
          <w:tcPr>
            <w:tcW w:w="8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Default="00BB0ACA" w:rsidP="007E040F">
            <w:pPr>
              <w:spacing w:before="240" w:after="120"/>
              <w:ind w:right="68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Pr="00B41688" w:rsidRDefault="00BB0ACA" w:rsidP="007E040F">
            <w:pPr>
              <w:spacing w:before="240" w:after="120"/>
              <w:ind w:right="68"/>
              <w:contextualSpacing/>
              <w:jc w:val="center"/>
              <w:rPr>
                <w:b/>
                <w:lang w:eastAsia="en-US"/>
              </w:rPr>
            </w:pPr>
            <w:r w:rsidRPr="00B41688">
              <w:rPr>
                <w:b/>
                <w:lang w:eastAsia="en-US"/>
              </w:rPr>
              <w:t>72</w:t>
            </w:r>
            <w:r>
              <w:rPr>
                <w:b/>
                <w:lang w:eastAsia="en-US"/>
              </w:rPr>
              <w:t> </w:t>
            </w:r>
            <w:r w:rsidRPr="00B41688">
              <w:rPr>
                <w:b/>
                <w:lang w:eastAsia="en-US"/>
              </w:rPr>
              <w:t>054</w:t>
            </w:r>
            <w:r>
              <w:rPr>
                <w:b/>
                <w:lang w:eastAsia="en-US"/>
              </w:rPr>
              <w:t xml:space="preserve"> </w:t>
            </w:r>
            <w:r w:rsidRPr="00B41688">
              <w:rPr>
                <w:b/>
                <w:lang w:eastAsia="en-US"/>
              </w:rPr>
              <w:t>764,48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ACA" w:rsidRPr="00B41688" w:rsidRDefault="00BB0ACA" w:rsidP="007E040F">
            <w:pPr>
              <w:spacing w:before="240" w:after="120"/>
              <w:ind w:right="68"/>
              <w:contextualSpacing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B41688">
              <w:rPr>
                <w:b/>
                <w:lang w:eastAsia="en-US"/>
              </w:rPr>
              <w:t>86</w:t>
            </w:r>
            <w:r>
              <w:rPr>
                <w:b/>
                <w:lang w:eastAsia="en-US"/>
              </w:rPr>
              <w:t> </w:t>
            </w:r>
            <w:r w:rsidRPr="00B41688">
              <w:rPr>
                <w:b/>
                <w:lang w:eastAsia="en-US"/>
              </w:rPr>
              <w:t>465</w:t>
            </w:r>
            <w:r>
              <w:rPr>
                <w:b/>
                <w:lang w:eastAsia="en-US"/>
              </w:rPr>
              <w:t xml:space="preserve"> 717,37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ACA" w:rsidRDefault="00BB0ACA" w:rsidP="007E040F">
            <w:pPr>
              <w:spacing w:before="240" w:after="120"/>
              <w:ind w:right="68"/>
              <w:contextualSpacing/>
              <w:jc w:val="center"/>
              <w:rPr>
                <w:b/>
                <w:lang w:eastAsia="en-US"/>
              </w:rPr>
            </w:pPr>
          </w:p>
        </w:tc>
      </w:tr>
    </w:tbl>
    <w:p w:rsidR="00BB0ACA" w:rsidRDefault="00BB0ACA" w:rsidP="00BB0ACA">
      <w:pPr>
        <w:spacing w:after="100" w:afterAutospacing="1"/>
        <w:ind w:firstLine="709"/>
        <w:contextualSpacing/>
        <w:jc w:val="both"/>
      </w:pPr>
      <w:r>
        <w:rPr>
          <w:szCs w:val="28"/>
        </w:rPr>
        <w:t xml:space="preserve"> </w:t>
      </w:r>
    </w:p>
    <w:p w:rsidR="00787F32" w:rsidRDefault="00BB0ACA" w:rsidP="00E63161">
      <w:pPr>
        <w:ind w:firstLine="708"/>
      </w:pPr>
      <w:r>
        <w:t>Начальник службы МТО                                                                                                                   М.С. Герасимов</w:t>
      </w:r>
    </w:p>
    <w:sectPr w:rsidR="00787F32" w:rsidSect="00BB0A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CA"/>
    <w:rsid w:val="00020086"/>
    <w:rsid w:val="004965F1"/>
    <w:rsid w:val="006F690F"/>
    <w:rsid w:val="00787F32"/>
    <w:rsid w:val="00BB0ACA"/>
    <w:rsid w:val="00BD318C"/>
    <w:rsid w:val="00CA6367"/>
    <w:rsid w:val="00E63161"/>
    <w:rsid w:val="00F0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E6A9B3-DCA3-4808-B7F4-BA6F14E0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C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ACA"/>
    <w:rPr>
      <w:b/>
      <w:bCs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BB0ACA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rsid w:val="00BB0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belenkovsa</dc:creator>
  <cp:lastModifiedBy>Беленков Сергей Анатольевич</cp:lastModifiedBy>
  <cp:revision>2</cp:revision>
  <dcterms:created xsi:type="dcterms:W3CDTF">2021-07-16T08:28:00Z</dcterms:created>
  <dcterms:modified xsi:type="dcterms:W3CDTF">2021-07-16T08:28:00Z</dcterms:modified>
</cp:coreProperties>
</file>