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proofErr w:type="gramEnd"/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6D58B582" w:rsidR="0057235D" w:rsidRPr="0057235D" w:rsidRDefault="0057235D" w:rsidP="0057235D">
      <w:pPr>
        <w:rPr>
          <w:b/>
          <w:bCs/>
          <w:szCs w:val="28"/>
        </w:rPr>
      </w:pPr>
      <w:r>
        <w:rPr>
          <w:b/>
          <w:szCs w:val="28"/>
        </w:rPr>
        <w:t xml:space="preserve">        </w:t>
      </w:r>
      <w:r>
        <w:rPr>
          <w:b/>
          <w:szCs w:val="28"/>
        </w:rPr>
        <w:t>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</w:t>
      </w:r>
      <w:r>
        <w:rPr>
          <w:b/>
          <w:szCs w:val="28"/>
        </w:rPr>
        <w:t xml:space="preserve">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ЗК/06-ВВРЗ/2023/ОМТО</w:t>
      </w:r>
    </w:p>
    <w:p w14:paraId="12CC2847" w14:textId="77777777" w:rsidR="0057235D" w:rsidRP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46B2E590" w14:textId="327E9D03" w:rsidR="0057235D" w:rsidRPr="00D02C88" w:rsidRDefault="0057235D" w:rsidP="0057235D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/06-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Pr="0020176F">
        <w:rPr>
          <w:b/>
          <w:szCs w:val="28"/>
        </w:rPr>
        <w:t>черного металлопроката</w:t>
      </w:r>
      <w:r>
        <w:rPr>
          <w:szCs w:val="28"/>
        </w:rPr>
        <w:t xml:space="preserve"> </w:t>
      </w:r>
      <w:r w:rsidRPr="00D02C88">
        <w:rPr>
          <w:szCs w:val="28"/>
        </w:rPr>
        <w:t xml:space="preserve">для нужд </w:t>
      </w:r>
      <w:r>
        <w:rPr>
          <w:szCs w:val="28"/>
        </w:rPr>
        <w:t>Воронеж</w:t>
      </w:r>
      <w:r w:rsidRPr="00D02C88">
        <w:rPr>
          <w:szCs w:val="28"/>
        </w:rPr>
        <w:t>ского ВРЗ АО «ВРМ»</w:t>
      </w:r>
      <w:r>
        <w:rPr>
          <w:szCs w:val="28"/>
        </w:rPr>
        <w:t xml:space="preserve"> </w:t>
      </w:r>
      <w:bookmarkStart w:id="0" w:name="_Hlk122507106"/>
      <w:r>
        <w:rPr>
          <w:szCs w:val="28"/>
        </w:rPr>
        <w:t>в феврале-июне 2023 года</w:t>
      </w:r>
      <w:bookmarkEnd w:id="0"/>
      <w:r w:rsidRPr="00D02C88">
        <w:rPr>
          <w:szCs w:val="28"/>
        </w:rPr>
        <w:t xml:space="preserve">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3D6BCBA2" w14:textId="77777777" w:rsidR="0057235D" w:rsidRDefault="0057235D" w:rsidP="0057235D">
            <w:pPr>
              <w:pStyle w:val="a4"/>
              <w:suppressAutoHyphens/>
              <w:spacing w:line="276" w:lineRule="auto"/>
              <w:jc w:val="both"/>
              <w:rPr>
                <w:bCs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   1. Внести изменение в </w:t>
            </w:r>
            <w:r>
              <w:rPr>
                <w:color w:val="000000" w:themeColor="text1"/>
                <w:szCs w:val="28"/>
              </w:rPr>
              <w:t xml:space="preserve">п. 2.16 пп.16 </w:t>
            </w:r>
            <w:r w:rsidRPr="000877DA">
              <w:rPr>
                <w:szCs w:val="28"/>
              </w:rPr>
              <w:t>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 следую</w:t>
            </w:r>
            <w:r>
              <w:rPr>
                <w:bCs/>
                <w:szCs w:val="28"/>
              </w:rPr>
              <w:t>щей редакции:</w:t>
            </w:r>
          </w:p>
          <w:p w14:paraId="12D5AE47" w14:textId="19FC2ACA" w:rsidR="0057235D" w:rsidRPr="00FF5059" w:rsidRDefault="00FF5059" w:rsidP="0057235D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</w:t>
            </w:r>
            <w:r w:rsidRPr="00FF5059">
              <w:rPr>
                <w:b/>
                <w:bCs/>
                <w:color w:val="000000" w:themeColor="text1"/>
                <w:szCs w:val="28"/>
              </w:rPr>
              <w:t xml:space="preserve">« </w:t>
            </w:r>
            <w:r w:rsidRPr="00FF5059">
              <w:rPr>
                <w:b/>
                <w:bCs/>
                <w:color w:val="000000" w:themeColor="text1"/>
                <w:szCs w:val="28"/>
              </w:rPr>
              <w:t xml:space="preserve">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</w:t>
            </w:r>
            <w:r w:rsidRPr="00FF5059">
              <w:rPr>
                <w:b/>
                <w:bCs/>
                <w:color w:val="000000" w:themeColor="text1"/>
                <w:szCs w:val="28"/>
              </w:rPr>
              <w:t>2</w:t>
            </w:r>
            <w:r w:rsidRPr="00FF5059">
              <w:rPr>
                <w:b/>
                <w:bCs/>
                <w:color w:val="000000" w:themeColor="text1"/>
                <w:szCs w:val="28"/>
              </w:rPr>
              <w:t>0 (д</w:t>
            </w:r>
            <w:r w:rsidRPr="00FF5059">
              <w:rPr>
                <w:b/>
                <w:bCs/>
                <w:color w:val="000000" w:themeColor="text1"/>
                <w:szCs w:val="28"/>
              </w:rPr>
              <w:t>вадцати</w:t>
            </w:r>
            <w:r w:rsidRPr="00FF5059">
              <w:rPr>
                <w:b/>
                <w:bCs/>
                <w:color w:val="000000" w:themeColor="text1"/>
                <w:szCs w:val="28"/>
              </w:rPr>
              <w:t xml:space="preserve">) рабочих дней до даты подачи котировочной заявки,  налоговыми органами по форме, утвержденной </w:t>
            </w:r>
            <w:r w:rsidRPr="00FF5059">
              <w:rPr>
                <w:b/>
                <w:bCs/>
              </w:rPr>
              <w:t>Приказ</w:t>
            </w:r>
            <w:r w:rsidRPr="00FF5059">
              <w:rPr>
                <w:b/>
                <w:bCs/>
              </w:rPr>
              <w:t>ом</w:t>
            </w:r>
            <w:r w:rsidRPr="00FF5059">
              <w:rPr>
                <w:b/>
                <w:bCs/>
              </w:rPr>
              <w:t xml:space="preserve"> ФНС России от 23.11.2022 N ЕД-7-8/1123@</w:t>
            </w:r>
            <w:r w:rsidRPr="00FF5059">
              <w:rPr>
                <w:rFonts w:eastAsia="Calibri"/>
                <w:b/>
                <w:bCs/>
                <w:color w:val="000000" w:themeColor="text1"/>
                <w:szCs w:val="28"/>
                <w:lang w:eastAsia="en-US"/>
              </w:rPr>
              <w:t>,</w:t>
            </w:r>
            <w:r w:rsidRPr="00FF5059">
              <w:rPr>
                <w:rFonts w:eastAsia="Calibri"/>
                <w:b/>
                <w:bCs/>
                <w:i/>
                <w:color w:val="auto"/>
                <w:lang w:eastAsia="en-US"/>
              </w:rPr>
              <w:t xml:space="preserve"> </w:t>
            </w:r>
            <w:r w:rsidRPr="00FF5059">
              <w:rPr>
                <w:b/>
                <w:bCs/>
                <w:color w:val="auto"/>
                <w:szCs w:val="28"/>
              </w:rPr>
              <w:t xml:space="preserve"> </w:t>
            </w:r>
            <w:r w:rsidRPr="00FF5059">
              <w:rPr>
                <w:b/>
                <w:bCs/>
                <w:color w:val="000000" w:themeColor="text1"/>
                <w:szCs w:val="28"/>
              </w:rPr>
              <w:t>с учетом внесенных в приказ изменений (оригинал либо нотариально заверенная копия, либо подписанная усиленной квалифицированной электронной подписью) (предоставляет каждое юридическое и\или физическое лицо, выступающее на стороне одного участника).</w:t>
            </w:r>
            <w:r w:rsidRPr="00FF5059">
              <w:rPr>
                <w:b/>
                <w:bCs/>
                <w:color w:val="000000" w:themeColor="text1"/>
                <w:szCs w:val="28"/>
              </w:rPr>
              <w:t>»</w:t>
            </w:r>
          </w:p>
          <w:p w14:paraId="7099D496" w14:textId="77777777" w:rsidR="0057235D" w:rsidRPr="00845FC1" w:rsidRDefault="0057235D" w:rsidP="00E8795E">
            <w:pPr>
              <w:jc w:val="both"/>
              <w:rPr>
                <w:szCs w:val="28"/>
              </w:rPr>
            </w:pPr>
          </w:p>
          <w:p w14:paraId="587D7541" w14:textId="77777777" w:rsidR="0057235D" w:rsidRPr="000877DA" w:rsidRDefault="0057235D" w:rsidP="00E8795E">
            <w:pPr>
              <w:pStyle w:val="a8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rPr>
          <w:szCs w:val="28"/>
        </w:rPr>
        <w:t xml:space="preserve">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57235D"/>
    <w:rsid w:val="007B6709"/>
    <w:rsid w:val="00C35D6A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2</cp:revision>
  <dcterms:created xsi:type="dcterms:W3CDTF">2023-02-01T09:02:00Z</dcterms:created>
  <dcterms:modified xsi:type="dcterms:W3CDTF">2023-02-01T09:23:00Z</dcterms:modified>
</cp:coreProperties>
</file>